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00" w:lineRule="exact"/>
        <w:jc w:val="center"/>
        <w:textAlignment w:val="auto"/>
        <w:rPr>
          <w:rFonts w:hint="default" w:ascii="Times New Roman" w:hAnsi="Times New Roman" w:eastAsia="方正小标宋_GBK" w:cs="Times New Roman"/>
          <w:b/>
          <w:sz w:val="44"/>
          <w:szCs w:val="44"/>
          <w:lang w:eastAsia="zh-CN"/>
        </w:rPr>
      </w:pPr>
      <w:r>
        <w:rPr>
          <w:rFonts w:hint="default" w:ascii="Times New Roman" w:hAnsi="Times New Roman" w:eastAsia="方正小标宋_GBK" w:cs="Times New Roman"/>
          <w:b/>
          <w:sz w:val="44"/>
          <w:szCs w:val="44"/>
          <w:lang w:val="en-US" w:eastAsia="zh-CN"/>
        </w:rPr>
        <w:t>2024年度</w:t>
      </w:r>
      <w:r>
        <w:rPr>
          <w:rFonts w:hint="default" w:ascii="Times New Roman" w:hAnsi="Times New Roman" w:eastAsia="方正小标宋_GBK" w:cs="Times New Roman"/>
          <w:b/>
          <w:sz w:val="44"/>
          <w:szCs w:val="44"/>
        </w:rPr>
        <w:t>云南省</w:t>
      </w:r>
      <w:r>
        <w:rPr>
          <w:rFonts w:hint="default" w:ascii="Times New Roman" w:hAnsi="Times New Roman" w:eastAsia="方正小标宋_GBK" w:cs="Times New Roman"/>
          <w:b/>
          <w:sz w:val="44"/>
          <w:szCs w:val="44"/>
          <w:lang w:val="en-US" w:eastAsia="zh-CN"/>
        </w:rPr>
        <w:t>科学技术</w:t>
      </w:r>
      <w:r>
        <w:rPr>
          <w:rFonts w:hint="default" w:ascii="Times New Roman" w:hAnsi="Times New Roman" w:eastAsia="方正小标宋_GBK" w:cs="Times New Roman"/>
          <w:b/>
          <w:sz w:val="44"/>
          <w:szCs w:val="44"/>
        </w:rPr>
        <w:t>奖</w:t>
      </w:r>
      <w:r>
        <w:rPr>
          <w:rFonts w:hint="default" w:ascii="Times New Roman" w:hAnsi="Times New Roman" w:eastAsia="方正小标宋_GBK" w:cs="Times New Roman"/>
          <w:b/>
          <w:sz w:val="44"/>
          <w:szCs w:val="44"/>
          <w:lang w:val="en-US" w:eastAsia="zh-CN"/>
        </w:rPr>
        <w:t>拟提名</w:t>
      </w:r>
      <w:r>
        <w:rPr>
          <w:rFonts w:hint="default" w:ascii="Times New Roman" w:hAnsi="Times New Roman" w:eastAsia="方正小标宋_GBK" w:cs="Times New Roman"/>
          <w:b/>
          <w:sz w:val="44"/>
          <w:szCs w:val="44"/>
        </w:rPr>
        <w:t>项目公示</w:t>
      </w:r>
    </w:p>
    <w:p>
      <w:pPr>
        <w:jc w:val="center"/>
        <w:rPr>
          <w:sz w:val="32"/>
          <w:szCs w:val="32"/>
        </w:rPr>
      </w:pPr>
    </w:p>
    <w:p>
      <w:pPr>
        <w:ind w:firstLine="420"/>
      </w:pPr>
      <w:r>
        <w:rPr>
          <w:rFonts w:hint="eastAsia"/>
          <w:szCs w:val="21"/>
        </w:rPr>
        <w:t>项目名称：</w:t>
      </w:r>
      <w:r>
        <w:t>白矮星及大质量恒星的深层次物理规律</w:t>
      </w:r>
      <w:r>
        <w:rPr>
          <w:rFonts w:hint="eastAsia"/>
        </w:rPr>
        <w:t>。</w:t>
      </w:r>
    </w:p>
    <w:p>
      <w:pPr>
        <w:ind w:firstLine="420"/>
      </w:pPr>
    </w:p>
    <w:p>
      <w:pPr>
        <w:ind w:firstLine="420"/>
      </w:pPr>
      <w:r>
        <w:rPr>
          <w:rFonts w:hint="eastAsia"/>
        </w:rPr>
        <w:t>提名者：楚雄州科学技术局。</w:t>
      </w:r>
    </w:p>
    <w:p>
      <w:pPr>
        <w:ind w:firstLine="420"/>
      </w:pPr>
    </w:p>
    <w:p>
      <w:pPr>
        <w:ind w:firstLine="420"/>
      </w:pPr>
      <w:r>
        <w:rPr>
          <w:rFonts w:hint="eastAsia"/>
        </w:rPr>
        <w:t>提名等级：云南省自然科学奖三等奖。</w:t>
      </w:r>
    </w:p>
    <w:p>
      <w:pPr>
        <w:ind w:firstLine="420"/>
      </w:pPr>
    </w:p>
    <w:p>
      <w:pPr>
        <w:ind w:firstLine="420"/>
        <w:rPr>
          <w:rFonts w:hint="eastAsia"/>
        </w:rPr>
      </w:pPr>
      <w:r>
        <w:rPr>
          <w:rFonts w:hint="eastAsia"/>
        </w:rPr>
        <w:t>项目简介：</w:t>
      </w:r>
    </w:p>
    <w:p>
      <w:pPr>
        <w:ind w:firstLine="420"/>
      </w:pPr>
      <w:r>
        <w:rPr>
          <w:rFonts w:hint="eastAsia"/>
        </w:rPr>
        <w:t>恒星结构与演化理论把主序星分为小质量恒星、中等质量恒星和大质量恒星。</w:t>
      </w:r>
      <w:r>
        <w:t>绝大多数中小质量恒星都将演化成为</w:t>
      </w:r>
      <w:r>
        <w:rPr>
          <w:rFonts w:hint="eastAsia"/>
        </w:rPr>
        <w:t>白矮星。而大质量恒星的演化归宿为超新星爆炸。该研究成果将以通过结题验收的</w:t>
      </w:r>
      <w:r>
        <w:t xml:space="preserve"> 3 项国家</w:t>
      </w:r>
      <w:r>
        <w:rPr>
          <w:rFonts w:hint="eastAsia"/>
        </w:rPr>
        <w:t>自然科学基金项目（11803004、11563001、11663001）为依托，总结研究发现的白矮星及大质量恒星的深层次物理规律。</w:t>
      </w:r>
    </w:p>
    <w:p>
      <w:pPr>
        <w:ind w:firstLine="420"/>
      </w:pPr>
      <w:r>
        <w:rPr>
          <w:rFonts w:hint="eastAsia"/>
        </w:rPr>
        <w:t>该研究成果包含DA型脉动白矮星（DAV）的脉动周期变化率、DAV和DB</w:t>
      </w:r>
      <w:r>
        <w:t>V</w:t>
      </w:r>
      <w:r>
        <w:rPr>
          <w:rFonts w:hint="eastAsia"/>
        </w:rPr>
        <w:t>白矮星中的屏蔽库伦势、DOV白矮星的混合大气物态结构、大质量恒星的对流和磁场等深层</w:t>
      </w:r>
      <w:bookmarkStart w:id="0" w:name="_GoBack"/>
      <w:bookmarkEnd w:id="0"/>
      <w:r>
        <w:rPr>
          <w:rFonts w:hint="eastAsia"/>
        </w:rPr>
        <w:t>次物理规律。对DAV白矮星的脉动周期变化率研究表明用DAV白矮星的脉动周期变化率限制暗物质候选体粒子轴子并非100%有效。对DA</w:t>
      </w:r>
      <w:r>
        <w:t>V</w:t>
      </w:r>
      <w:r>
        <w:rPr>
          <w:rFonts w:hint="eastAsia"/>
        </w:rPr>
        <w:t>和DB</w:t>
      </w:r>
      <w:r>
        <w:t>V</w:t>
      </w:r>
      <w:r>
        <w:rPr>
          <w:rFonts w:hint="eastAsia"/>
        </w:rPr>
        <w:t>白矮星中的屏蔽库伦势研究表明白矮星内部屏蔽库伦势物理规律具有潜在应用价值。创造性的获得了演化具有混合大气物态结构的高温DOV白矮星科学方法。大质量恒星的对流和磁场均会有力影响恒星的物态结构和热力学参数，进而影响恒星结构与演化以及恒星脉动现象。</w:t>
      </w:r>
    </w:p>
    <w:p>
      <w:pPr>
        <w:ind w:firstLine="420"/>
      </w:pPr>
      <w:r>
        <w:rPr>
          <w:rFonts w:hint="eastAsia"/>
        </w:rPr>
        <w:t>该研究成果包含的8篇代表性论文均发表在国际SCI收录杂志上，累计影响因子为37，他引总次数为12次。代表性论文目录如下：</w:t>
      </w:r>
    </w:p>
    <w:tbl>
      <w:tblPr>
        <w:tblStyle w:val="3"/>
        <w:tblW w:w="79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4"/>
        <w:gridCol w:w="3827"/>
        <w:gridCol w:w="709"/>
        <w:gridCol w:w="709"/>
        <w:gridCol w:w="567"/>
        <w:gridCol w:w="567"/>
        <w:gridCol w:w="505"/>
        <w:gridCol w:w="7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274" w:type="dxa"/>
            <w:vAlign w:val="center"/>
          </w:tcPr>
          <w:p>
            <w:pPr>
              <w:pStyle w:val="2"/>
              <w:adjustRightInd w:val="0"/>
              <w:spacing w:after="50" w:line="240" w:lineRule="auto"/>
              <w:ind w:firstLine="0" w:firstLineChars="0"/>
              <w:jc w:val="center"/>
              <w:outlineLvl w:val="1"/>
              <w:rPr>
                <w:rFonts w:ascii="Times New Roman"/>
                <w:sz w:val="13"/>
                <w:szCs w:val="13"/>
              </w:rPr>
            </w:pPr>
            <w:r>
              <w:rPr>
                <w:rFonts w:ascii="Times New Roman"/>
                <w:sz w:val="13"/>
                <w:szCs w:val="13"/>
              </w:rPr>
              <w:t>序号</w:t>
            </w:r>
          </w:p>
        </w:tc>
        <w:tc>
          <w:tcPr>
            <w:tcW w:w="3827" w:type="dxa"/>
            <w:vAlign w:val="center"/>
          </w:tcPr>
          <w:p>
            <w:pPr>
              <w:pStyle w:val="2"/>
              <w:adjustRightInd w:val="0"/>
              <w:spacing w:after="50" w:line="240" w:lineRule="auto"/>
              <w:ind w:firstLine="0" w:firstLineChars="0"/>
              <w:jc w:val="center"/>
              <w:outlineLvl w:val="1"/>
              <w:rPr>
                <w:rFonts w:ascii="Times New Roman"/>
                <w:sz w:val="13"/>
                <w:szCs w:val="13"/>
              </w:rPr>
            </w:pPr>
            <w:r>
              <w:rPr>
                <w:rFonts w:ascii="Times New Roman"/>
                <w:sz w:val="13"/>
                <w:szCs w:val="13"/>
              </w:rPr>
              <w:t>论文专著</w:t>
            </w:r>
          </w:p>
          <w:p>
            <w:pPr>
              <w:pStyle w:val="2"/>
              <w:adjustRightInd w:val="0"/>
              <w:spacing w:after="50" w:line="240" w:lineRule="auto"/>
              <w:ind w:firstLine="0" w:firstLineChars="0"/>
              <w:jc w:val="center"/>
              <w:outlineLvl w:val="1"/>
              <w:rPr>
                <w:rFonts w:ascii="Times New Roman"/>
                <w:sz w:val="13"/>
                <w:szCs w:val="13"/>
              </w:rPr>
            </w:pPr>
            <w:r>
              <w:rPr>
                <w:rFonts w:ascii="Times New Roman"/>
                <w:sz w:val="13"/>
                <w:szCs w:val="13"/>
              </w:rPr>
              <w:t>名称/刊名</w:t>
            </w:r>
          </w:p>
          <w:p>
            <w:pPr>
              <w:pStyle w:val="2"/>
              <w:adjustRightInd w:val="0"/>
              <w:spacing w:after="50" w:line="240" w:lineRule="auto"/>
              <w:ind w:firstLine="0" w:firstLineChars="0"/>
              <w:jc w:val="center"/>
              <w:outlineLvl w:val="1"/>
              <w:rPr>
                <w:rFonts w:ascii="Times New Roman"/>
                <w:sz w:val="13"/>
                <w:szCs w:val="13"/>
              </w:rPr>
            </w:pPr>
            <w:r>
              <w:rPr>
                <w:rFonts w:ascii="Times New Roman"/>
                <w:sz w:val="13"/>
                <w:szCs w:val="13"/>
              </w:rPr>
              <w:t>/作者</w:t>
            </w:r>
          </w:p>
        </w:tc>
        <w:tc>
          <w:tcPr>
            <w:tcW w:w="709" w:type="dxa"/>
            <w:vAlign w:val="center"/>
          </w:tcPr>
          <w:p>
            <w:pPr>
              <w:pStyle w:val="2"/>
              <w:adjustRightInd w:val="0"/>
              <w:spacing w:after="50" w:line="240" w:lineRule="auto"/>
              <w:ind w:firstLine="0" w:firstLineChars="0"/>
              <w:jc w:val="center"/>
              <w:outlineLvl w:val="1"/>
              <w:rPr>
                <w:rFonts w:ascii="Times New Roman"/>
                <w:sz w:val="13"/>
                <w:szCs w:val="13"/>
              </w:rPr>
            </w:pPr>
            <w:r>
              <w:rPr>
                <w:rFonts w:ascii="Times New Roman"/>
                <w:sz w:val="13"/>
                <w:szCs w:val="13"/>
              </w:rPr>
              <w:t>卷页码</w:t>
            </w:r>
          </w:p>
        </w:tc>
        <w:tc>
          <w:tcPr>
            <w:tcW w:w="709" w:type="dxa"/>
            <w:vAlign w:val="center"/>
          </w:tcPr>
          <w:p>
            <w:pPr>
              <w:pStyle w:val="2"/>
              <w:adjustRightInd w:val="0"/>
              <w:spacing w:after="50" w:line="240" w:lineRule="auto"/>
              <w:ind w:firstLine="0" w:firstLineChars="0"/>
              <w:jc w:val="center"/>
              <w:outlineLvl w:val="1"/>
              <w:rPr>
                <w:rFonts w:ascii="Times New Roman"/>
                <w:sz w:val="13"/>
                <w:szCs w:val="13"/>
              </w:rPr>
            </w:pPr>
            <w:r>
              <w:rPr>
                <w:rFonts w:ascii="Times New Roman"/>
                <w:sz w:val="13"/>
                <w:szCs w:val="13"/>
              </w:rPr>
              <w:t>发表时间</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ascii="Times New Roman"/>
                <w:sz w:val="13"/>
                <w:szCs w:val="13"/>
              </w:rPr>
              <w:t>通讯作者</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ascii="Times New Roman"/>
                <w:sz w:val="13"/>
                <w:szCs w:val="13"/>
              </w:rPr>
              <w:t>第一作者</w:t>
            </w:r>
          </w:p>
        </w:tc>
        <w:tc>
          <w:tcPr>
            <w:tcW w:w="505" w:type="dxa"/>
            <w:vAlign w:val="center"/>
          </w:tcPr>
          <w:p>
            <w:pPr>
              <w:pStyle w:val="2"/>
              <w:adjustRightInd w:val="0"/>
              <w:spacing w:after="50" w:line="240" w:lineRule="auto"/>
              <w:ind w:firstLine="0" w:firstLineChars="0"/>
              <w:jc w:val="center"/>
              <w:outlineLvl w:val="1"/>
              <w:rPr>
                <w:rFonts w:ascii="Times New Roman"/>
                <w:sz w:val="13"/>
                <w:szCs w:val="13"/>
              </w:rPr>
            </w:pPr>
            <w:r>
              <w:rPr>
                <w:rFonts w:ascii="Times New Roman"/>
                <w:sz w:val="13"/>
                <w:szCs w:val="13"/>
              </w:rPr>
              <w:t>他引总次数</w:t>
            </w:r>
          </w:p>
        </w:tc>
        <w:tc>
          <w:tcPr>
            <w:tcW w:w="770" w:type="dxa"/>
            <w:vAlign w:val="center"/>
          </w:tcPr>
          <w:p>
            <w:pPr>
              <w:pStyle w:val="2"/>
              <w:adjustRightInd w:val="0"/>
              <w:spacing w:after="50" w:line="240" w:lineRule="auto"/>
              <w:ind w:firstLine="0" w:firstLineChars="0"/>
              <w:jc w:val="center"/>
              <w:outlineLvl w:val="1"/>
              <w:rPr>
                <w:rFonts w:ascii="Times New Roman"/>
                <w:sz w:val="13"/>
                <w:szCs w:val="13"/>
              </w:rPr>
            </w:pPr>
            <w:r>
              <w:rPr>
                <w:rFonts w:ascii="Times New Roman"/>
                <w:sz w:val="13"/>
                <w:szCs w:val="13"/>
              </w:rPr>
              <w:t>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9" w:hRule="exact"/>
          <w:jc w:val="center"/>
        </w:trPr>
        <w:tc>
          <w:tcPr>
            <w:tcW w:w="274" w:type="dxa"/>
            <w:vAlign w:val="center"/>
          </w:tcPr>
          <w:p>
            <w:pPr>
              <w:pStyle w:val="2"/>
              <w:adjustRightInd w:val="0"/>
              <w:spacing w:after="50" w:line="240" w:lineRule="auto"/>
              <w:ind w:firstLine="0" w:firstLineChars="0"/>
              <w:jc w:val="center"/>
              <w:outlineLvl w:val="1"/>
              <w:rPr>
                <w:rFonts w:ascii="Times New Roman"/>
                <w:sz w:val="13"/>
                <w:szCs w:val="13"/>
              </w:rPr>
            </w:pPr>
            <w:r>
              <w:rPr>
                <w:rFonts w:ascii="Times New Roman"/>
                <w:sz w:val="13"/>
                <w:szCs w:val="13"/>
              </w:rPr>
              <w:t>1</w:t>
            </w:r>
          </w:p>
        </w:tc>
        <w:tc>
          <w:tcPr>
            <w:tcW w:w="3827" w:type="dxa"/>
            <w:vAlign w:val="center"/>
          </w:tcPr>
          <w:p>
            <w:pPr>
              <w:jc w:val="center"/>
              <w:rPr>
                <w:sz w:val="13"/>
                <w:szCs w:val="13"/>
              </w:rPr>
            </w:pPr>
            <w:r>
              <w:rPr>
                <w:sz w:val="13"/>
                <w:szCs w:val="13"/>
              </w:rPr>
              <w:t>The rate of period change in DAV stars</w:t>
            </w:r>
          </w:p>
          <w:p>
            <w:pPr>
              <w:jc w:val="center"/>
              <w:rPr>
                <w:sz w:val="13"/>
                <w:szCs w:val="13"/>
              </w:rPr>
            </w:pPr>
            <w:r>
              <w:rPr>
                <w:rFonts w:hint="eastAsia"/>
                <w:sz w:val="13"/>
                <w:szCs w:val="13"/>
              </w:rPr>
              <w:t>/</w:t>
            </w:r>
            <w:r>
              <w:rPr>
                <w:sz w:val="13"/>
                <w:szCs w:val="13"/>
              </w:rPr>
              <w:t xml:space="preserve"> Research in Astronomy and Astrophysics</w:t>
            </w:r>
          </w:p>
          <w:p>
            <w:pPr>
              <w:jc w:val="center"/>
              <w:rPr>
                <w:sz w:val="13"/>
                <w:szCs w:val="13"/>
              </w:rPr>
            </w:pPr>
            <w:r>
              <w:rPr>
                <w:rFonts w:hint="eastAsia"/>
                <w:sz w:val="13"/>
                <w:szCs w:val="13"/>
              </w:rPr>
              <w:t>/陈彦辉、丁彩云、那维炜、舒虹</w:t>
            </w:r>
          </w:p>
        </w:tc>
        <w:tc>
          <w:tcPr>
            <w:tcW w:w="709" w:type="dxa"/>
            <w:vAlign w:val="center"/>
          </w:tcPr>
          <w:p>
            <w:pPr>
              <w:pStyle w:val="2"/>
              <w:adjustRightInd w:val="0"/>
              <w:spacing w:after="50" w:line="240" w:lineRule="auto"/>
              <w:ind w:firstLine="0" w:firstLineChars="0"/>
              <w:outlineLvl w:val="1"/>
              <w:rPr>
                <w:rFonts w:ascii="Times New Roman"/>
                <w:sz w:val="13"/>
                <w:szCs w:val="13"/>
              </w:rPr>
            </w:pPr>
            <w:r>
              <w:rPr>
                <w:rFonts w:hint="eastAsia"/>
                <w:sz w:val="13"/>
                <w:szCs w:val="13"/>
              </w:rPr>
              <w:t>11卷65</w:t>
            </w:r>
          </w:p>
        </w:tc>
        <w:tc>
          <w:tcPr>
            <w:tcW w:w="709"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sz w:val="13"/>
                <w:szCs w:val="13"/>
              </w:rPr>
              <w:t>2017年7月</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陈彦辉</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陈彦辉</w:t>
            </w:r>
          </w:p>
        </w:tc>
        <w:tc>
          <w:tcPr>
            <w:tcW w:w="505"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sz w:val="13"/>
                <w:szCs w:val="13"/>
              </w:rPr>
              <w:t>1</w:t>
            </w:r>
          </w:p>
        </w:tc>
        <w:tc>
          <w:tcPr>
            <w:tcW w:w="770" w:type="dxa"/>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2" w:hRule="exact"/>
          <w:jc w:val="center"/>
        </w:trPr>
        <w:tc>
          <w:tcPr>
            <w:tcW w:w="274" w:type="dxa"/>
            <w:vAlign w:val="center"/>
          </w:tcPr>
          <w:p>
            <w:pPr>
              <w:pStyle w:val="2"/>
              <w:adjustRightInd w:val="0"/>
              <w:spacing w:after="50" w:line="240" w:lineRule="auto"/>
              <w:ind w:firstLine="0" w:firstLineChars="0"/>
              <w:jc w:val="center"/>
              <w:outlineLvl w:val="1"/>
              <w:rPr>
                <w:rFonts w:ascii="Times New Roman"/>
                <w:sz w:val="13"/>
                <w:szCs w:val="13"/>
              </w:rPr>
            </w:pPr>
            <w:r>
              <w:rPr>
                <w:rFonts w:ascii="Times New Roman"/>
                <w:sz w:val="13"/>
                <w:szCs w:val="13"/>
              </w:rPr>
              <w:t>2</w:t>
            </w:r>
          </w:p>
        </w:tc>
        <w:tc>
          <w:tcPr>
            <w:tcW w:w="3827" w:type="dxa"/>
            <w:vAlign w:val="center"/>
          </w:tcPr>
          <w:p>
            <w:pPr>
              <w:jc w:val="center"/>
              <w:rPr>
                <w:sz w:val="13"/>
                <w:szCs w:val="13"/>
              </w:rPr>
            </w:pPr>
            <w:r>
              <w:rPr>
                <w:sz w:val="13"/>
                <w:szCs w:val="13"/>
              </w:rPr>
              <w:t>Application of screened Coulomb potential in fitting DBV star PG 0112+104</w:t>
            </w:r>
          </w:p>
          <w:p>
            <w:pPr>
              <w:jc w:val="center"/>
              <w:rPr>
                <w:sz w:val="13"/>
                <w:szCs w:val="13"/>
              </w:rPr>
            </w:pPr>
            <w:r>
              <w:rPr>
                <w:rFonts w:hint="eastAsia"/>
                <w:sz w:val="13"/>
                <w:szCs w:val="13"/>
              </w:rPr>
              <w:t>/</w:t>
            </w:r>
            <w:r>
              <w:rPr>
                <w:sz w:val="13"/>
                <w:szCs w:val="13"/>
              </w:rPr>
              <w:t xml:space="preserve"> Monthly Notices of the Royal Astronomical Society</w:t>
            </w:r>
          </w:p>
          <w:p>
            <w:pPr>
              <w:jc w:val="center"/>
              <w:rPr>
                <w:sz w:val="13"/>
                <w:szCs w:val="13"/>
              </w:rPr>
            </w:pPr>
            <w:r>
              <w:rPr>
                <w:rFonts w:hint="eastAsia"/>
                <w:sz w:val="13"/>
                <w:szCs w:val="13"/>
              </w:rPr>
              <w:t>/陈彦辉</w:t>
            </w:r>
          </w:p>
        </w:tc>
        <w:tc>
          <w:tcPr>
            <w:tcW w:w="709" w:type="dxa"/>
            <w:vAlign w:val="center"/>
          </w:tcPr>
          <w:p>
            <w:pPr>
              <w:pStyle w:val="2"/>
              <w:adjustRightInd w:val="0"/>
              <w:spacing w:after="50" w:line="240" w:lineRule="auto"/>
              <w:ind w:firstLine="0" w:firstLineChars="0"/>
              <w:outlineLvl w:val="1"/>
              <w:rPr>
                <w:rFonts w:ascii="Times New Roman"/>
                <w:sz w:val="13"/>
                <w:szCs w:val="13"/>
              </w:rPr>
            </w:pPr>
            <w:r>
              <w:rPr>
                <w:rFonts w:hint="eastAsia"/>
                <w:sz w:val="13"/>
                <w:szCs w:val="13"/>
              </w:rPr>
              <w:t>475卷20页</w:t>
            </w:r>
          </w:p>
        </w:tc>
        <w:tc>
          <w:tcPr>
            <w:tcW w:w="709"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sz w:val="13"/>
                <w:szCs w:val="13"/>
              </w:rPr>
              <w:t>2018年3月</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陈彦辉</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陈彦辉</w:t>
            </w:r>
          </w:p>
        </w:tc>
        <w:tc>
          <w:tcPr>
            <w:tcW w:w="505"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sz w:val="13"/>
                <w:szCs w:val="13"/>
              </w:rPr>
              <w:t>1</w:t>
            </w:r>
          </w:p>
        </w:tc>
        <w:tc>
          <w:tcPr>
            <w:tcW w:w="770" w:type="dxa"/>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7" w:hRule="exact"/>
          <w:jc w:val="center"/>
        </w:trPr>
        <w:tc>
          <w:tcPr>
            <w:tcW w:w="274"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3</w:t>
            </w:r>
          </w:p>
        </w:tc>
        <w:tc>
          <w:tcPr>
            <w:tcW w:w="3827" w:type="dxa"/>
            <w:vAlign w:val="center"/>
          </w:tcPr>
          <w:p>
            <w:pPr>
              <w:jc w:val="center"/>
              <w:rPr>
                <w:sz w:val="13"/>
                <w:szCs w:val="13"/>
              </w:rPr>
            </w:pPr>
            <w:r>
              <w:rPr>
                <w:sz w:val="13"/>
                <w:szCs w:val="13"/>
              </w:rPr>
              <w:t xml:space="preserve">Application of the screened Coulomb potential to fit the DA-type variable star HS 0507 + 0434B </w:t>
            </w:r>
          </w:p>
          <w:p>
            <w:pPr>
              <w:jc w:val="center"/>
              <w:rPr>
                <w:sz w:val="13"/>
                <w:szCs w:val="13"/>
              </w:rPr>
            </w:pPr>
            <w:r>
              <w:rPr>
                <w:sz w:val="13"/>
                <w:szCs w:val="13"/>
              </w:rPr>
              <w:t>/Monthly Notices of the Royal Astronomical Society</w:t>
            </w:r>
          </w:p>
          <w:p>
            <w:pPr>
              <w:jc w:val="center"/>
              <w:rPr>
                <w:sz w:val="13"/>
                <w:szCs w:val="13"/>
              </w:rPr>
            </w:pPr>
            <w:r>
              <w:rPr>
                <w:rFonts w:hint="eastAsia"/>
                <w:sz w:val="13"/>
                <w:szCs w:val="13"/>
              </w:rPr>
              <w:t>/陈彦辉</w:t>
            </w:r>
          </w:p>
        </w:tc>
        <w:tc>
          <w:tcPr>
            <w:tcW w:w="709" w:type="dxa"/>
            <w:vAlign w:val="center"/>
          </w:tcPr>
          <w:p>
            <w:pPr>
              <w:pStyle w:val="2"/>
              <w:adjustRightInd w:val="0"/>
              <w:spacing w:after="50" w:line="240" w:lineRule="auto"/>
              <w:ind w:firstLine="0" w:firstLineChars="0"/>
              <w:outlineLvl w:val="1"/>
              <w:rPr>
                <w:rFonts w:ascii="Times New Roman"/>
                <w:sz w:val="13"/>
                <w:szCs w:val="13"/>
              </w:rPr>
            </w:pPr>
            <w:r>
              <w:rPr>
                <w:rFonts w:hint="eastAsia"/>
                <w:sz w:val="13"/>
                <w:szCs w:val="13"/>
              </w:rPr>
              <w:t>495卷2428页</w:t>
            </w:r>
          </w:p>
        </w:tc>
        <w:tc>
          <w:tcPr>
            <w:tcW w:w="709"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sz w:val="13"/>
                <w:szCs w:val="13"/>
              </w:rPr>
              <w:t>2020年6月</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陈彦辉</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陈彦辉</w:t>
            </w:r>
          </w:p>
        </w:tc>
        <w:tc>
          <w:tcPr>
            <w:tcW w:w="505"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sz w:val="13"/>
                <w:szCs w:val="13"/>
              </w:rPr>
              <w:t>1</w:t>
            </w:r>
          </w:p>
        </w:tc>
        <w:tc>
          <w:tcPr>
            <w:tcW w:w="770" w:type="dxa"/>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9" w:hRule="exact"/>
          <w:jc w:val="center"/>
        </w:trPr>
        <w:tc>
          <w:tcPr>
            <w:tcW w:w="274"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4</w:t>
            </w:r>
          </w:p>
        </w:tc>
        <w:tc>
          <w:tcPr>
            <w:tcW w:w="3827" w:type="dxa"/>
            <w:vAlign w:val="center"/>
          </w:tcPr>
          <w:p>
            <w:pPr>
              <w:jc w:val="center"/>
              <w:rPr>
                <w:sz w:val="13"/>
                <w:szCs w:val="13"/>
              </w:rPr>
            </w:pPr>
            <w:r>
              <w:rPr>
                <w:sz w:val="13"/>
                <w:szCs w:val="13"/>
              </w:rPr>
              <w:t xml:space="preserve">Asteroseismology of the DAV star R808 </w:t>
            </w:r>
          </w:p>
          <w:p>
            <w:pPr>
              <w:jc w:val="center"/>
              <w:rPr>
                <w:sz w:val="13"/>
                <w:szCs w:val="13"/>
              </w:rPr>
            </w:pPr>
            <w:r>
              <w:rPr>
                <w:sz w:val="13"/>
                <w:szCs w:val="13"/>
              </w:rPr>
              <w:t>/Monthly Notices of the Royal Astronomical Society</w:t>
            </w:r>
          </w:p>
          <w:p>
            <w:pPr>
              <w:jc w:val="center"/>
              <w:rPr>
                <w:sz w:val="13"/>
                <w:szCs w:val="13"/>
              </w:rPr>
            </w:pPr>
            <w:r>
              <w:rPr>
                <w:rFonts w:hint="eastAsia"/>
                <w:sz w:val="13"/>
                <w:szCs w:val="13"/>
              </w:rPr>
              <w:t>/陈彦辉、舒虹</w:t>
            </w:r>
          </w:p>
        </w:tc>
        <w:tc>
          <w:tcPr>
            <w:tcW w:w="709" w:type="dxa"/>
            <w:vAlign w:val="center"/>
          </w:tcPr>
          <w:p>
            <w:pPr>
              <w:pStyle w:val="2"/>
              <w:adjustRightInd w:val="0"/>
              <w:spacing w:after="50" w:line="240" w:lineRule="auto"/>
              <w:ind w:firstLine="0" w:firstLineChars="0"/>
              <w:outlineLvl w:val="1"/>
              <w:rPr>
                <w:rFonts w:ascii="Times New Roman"/>
                <w:sz w:val="13"/>
                <w:szCs w:val="13"/>
              </w:rPr>
            </w:pPr>
            <w:r>
              <w:rPr>
                <w:rFonts w:hint="eastAsia"/>
                <w:sz w:val="13"/>
                <w:szCs w:val="13"/>
              </w:rPr>
              <w:t>500卷4703页</w:t>
            </w:r>
          </w:p>
        </w:tc>
        <w:tc>
          <w:tcPr>
            <w:tcW w:w="709"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sz w:val="13"/>
                <w:szCs w:val="13"/>
              </w:rPr>
              <w:t>2021年2月</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陈彦辉</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陈彦辉</w:t>
            </w:r>
          </w:p>
        </w:tc>
        <w:tc>
          <w:tcPr>
            <w:tcW w:w="505"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sz w:val="13"/>
                <w:szCs w:val="13"/>
              </w:rPr>
              <w:t>0</w:t>
            </w:r>
          </w:p>
        </w:tc>
        <w:tc>
          <w:tcPr>
            <w:tcW w:w="770" w:type="dxa"/>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274"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5</w:t>
            </w:r>
          </w:p>
        </w:tc>
        <w:tc>
          <w:tcPr>
            <w:tcW w:w="3827" w:type="dxa"/>
            <w:vAlign w:val="center"/>
          </w:tcPr>
          <w:p>
            <w:pPr>
              <w:pStyle w:val="2"/>
              <w:adjustRightInd w:val="0"/>
              <w:spacing w:after="50" w:line="240" w:lineRule="auto"/>
              <w:ind w:firstLine="0" w:firstLineChars="0"/>
              <w:jc w:val="center"/>
              <w:outlineLvl w:val="1"/>
              <w:rPr>
                <w:rFonts w:asciiTheme="minorHAnsi" w:hAnsiTheme="minorHAnsi" w:eastAsiaTheme="minorEastAsia" w:cstheme="minorBidi"/>
                <w:sz w:val="13"/>
                <w:szCs w:val="13"/>
              </w:rPr>
            </w:pPr>
            <w:r>
              <w:rPr>
                <w:rFonts w:asciiTheme="minorHAnsi" w:hAnsiTheme="minorHAnsi" w:eastAsiaTheme="minorEastAsia" w:cstheme="minorBidi"/>
                <w:sz w:val="13"/>
                <w:szCs w:val="13"/>
              </w:rPr>
              <w:t>Asteroseismology of the DOV star PG 1159</w:t>
            </w:r>
            <w:r>
              <w:rPr>
                <w:rFonts w:hint="eastAsia" w:ascii="微软雅黑" w:hAnsi="微软雅黑" w:eastAsia="微软雅黑" w:cs="微软雅黑"/>
                <w:sz w:val="13"/>
                <w:szCs w:val="13"/>
              </w:rPr>
              <w:t>−</w:t>
            </w:r>
            <w:r>
              <w:rPr>
                <w:rFonts w:asciiTheme="minorHAnsi" w:hAnsiTheme="minorHAnsi" w:eastAsiaTheme="minorEastAsia" w:cstheme="minorBidi"/>
                <w:sz w:val="13"/>
                <w:szCs w:val="13"/>
              </w:rPr>
              <w:t xml:space="preserve">035 </w:t>
            </w:r>
          </w:p>
          <w:p>
            <w:pPr>
              <w:pStyle w:val="2"/>
              <w:adjustRightInd w:val="0"/>
              <w:spacing w:after="50" w:line="240" w:lineRule="auto"/>
              <w:ind w:firstLine="0" w:firstLineChars="0"/>
              <w:jc w:val="center"/>
              <w:outlineLvl w:val="1"/>
              <w:rPr>
                <w:rFonts w:asciiTheme="minorHAnsi" w:hAnsiTheme="minorHAnsi" w:eastAsiaTheme="minorEastAsia" w:cstheme="minorBidi"/>
                <w:sz w:val="13"/>
                <w:szCs w:val="13"/>
              </w:rPr>
            </w:pPr>
            <w:r>
              <w:rPr>
                <w:rFonts w:asciiTheme="minorHAnsi" w:hAnsiTheme="minorHAnsi" w:eastAsiaTheme="minorEastAsia" w:cstheme="minorBidi"/>
                <w:sz w:val="13"/>
                <w:szCs w:val="13"/>
              </w:rPr>
              <w:t>/Monthly Notices of the Royal Astronomical Society</w:t>
            </w:r>
          </w:p>
          <w:p>
            <w:pPr>
              <w:pStyle w:val="2"/>
              <w:adjustRightInd w:val="0"/>
              <w:spacing w:after="50" w:line="240" w:lineRule="auto"/>
              <w:ind w:firstLine="0" w:firstLineChars="0"/>
              <w:jc w:val="center"/>
              <w:outlineLvl w:val="1"/>
              <w:rPr>
                <w:rFonts w:asciiTheme="minorHAnsi" w:hAnsiTheme="minorHAnsi" w:eastAsiaTheme="minorEastAsia" w:cstheme="minorBidi"/>
                <w:sz w:val="13"/>
                <w:szCs w:val="13"/>
              </w:rPr>
            </w:pPr>
            <w:r>
              <w:rPr>
                <w:rFonts w:hint="eastAsia" w:asciiTheme="minorHAnsi" w:hAnsiTheme="minorHAnsi" w:eastAsiaTheme="minorEastAsia" w:cstheme="minorBidi"/>
                <w:sz w:val="13"/>
                <w:szCs w:val="13"/>
              </w:rPr>
              <w:t>/陈彦辉</w:t>
            </w:r>
          </w:p>
        </w:tc>
        <w:tc>
          <w:tcPr>
            <w:tcW w:w="709" w:type="dxa"/>
            <w:vAlign w:val="center"/>
          </w:tcPr>
          <w:p>
            <w:pPr>
              <w:pStyle w:val="2"/>
              <w:adjustRightInd w:val="0"/>
              <w:spacing w:after="50" w:line="240" w:lineRule="auto"/>
              <w:ind w:firstLine="0" w:firstLineChars="0"/>
              <w:outlineLvl w:val="1"/>
              <w:rPr>
                <w:sz w:val="13"/>
                <w:szCs w:val="13"/>
              </w:rPr>
            </w:pPr>
            <w:r>
              <w:rPr>
                <w:rFonts w:hint="eastAsia"/>
                <w:sz w:val="13"/>
                <w:szCs w:val="13"/>
              </w:rPr>
              <w:t>488卷2253页</w:t>
            </w:r>
          </w:p>
        </w:tc>
        <w:tc>
          <w:tcPr>
            <w:tcW w:w="709" w:type="dxa"/>
            <w:vAlign w:val="center"/>
          </w:tcPr>
          <w:p>
            <w:pPr>
              <w:pStyle w:val="2"/>
              <w:adjustRightInd w:val="0"/>
              <w:spacing w:after="50" w:line="240" w:lineRule="auto"/>
              <w:ind w:firstLine="0" w:firstLineChars="0"/>
              <w:jc w:val="center"/>
              <w:outlineLvl w:val="1"/>
              <w:rPr>
                <w:sz w:val="13"/>
                <w:szCs w:val="13"/>
              </w:rPr>
            </w:pPr>
            <w:r>
              <w:rPr>
                <w:rFonts w:hint="eastAsia"/>
                <w:sz w:val="13"/>
                <w:szCs w:val="13"/>
              </w:rPr>
              <w:t>2019年9月</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陈彦辉</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陈彦辉</w:t>
            </w:r>
          </w:p>
        </w:tc>
        <w:tc>
          <w:tcPr>
            <w:tcW w:w="505" w:type="dxa"/>
            <w:vAlign w:val="center"/>
          </w:tcPr>
          <w:p>
            <w:pPr>
              <w:pStyle w:val="2"/>
              <w:adjustRightInd w:val="0"/>
              <w:spacing w:after="50" w:line="240" w:lineRule="auto"/>
              <w:ind w:firstLine="0" w:firstLineChars="0"/>
              <w:jc w:val="center"/>
              <w:outlineLvl w:val="1"/>
              <w:rPr>
                <w:sz w:val="13"/>
                <w:szCs w:val="13"/>
              </w:rPr>
            </w:pPr>
            <w:r>
              <w:rPr>
                <w:rFonts w:hint="eastAsia"/>
                <w:sz w:val="13"/>
                <w:szCs w:val="13"/>
              </w:rPr>
              <w:t>0</w:t>
            </w:r>
          </w:p>
        </w:tc>
        <w:tc>
          <w:tcPr>
            <w:tcW w:w="770" w:type="dxa"/>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274"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6</w:t>
            </w:r>
          </w:p>
        </w:tc>
        <w:tc>
          <w:tcPr>
            <w:tcW w:w="3827" w:type="dxa"/>
            <w:vAlign w:val="center"/>
          </w:tcPr>
          <w:p>
            <w:pPr>
              <w:pStyle w:val="2"/>
              <w:adjustRightInd w:val="0"/>
              <w:spacing w:after="50" w:line="240" w:lineRule="auto"/>
              <w:ind w:firstLine="0" w:firstLineChars="0"/>
              <w:jc w:val="center"/>
              <w:outlineLvl w:val="1"/>
              <w:rPr>
                <w:rFonts w:asciiTheme="minorHAnsi" w:hAnsiTheme="minorHAnsi" w:eastAsiaTheme="minorEastAsia" w:cstheme="minorBidi"/>
                <w:sz w:val="13"/>
                <w:szCs w:val="13"/>
              </w:rPr>
            </w:pPr>
            <w:r>
              <w:rPr>
                <w:rFonts w:asciiTheme="minorHAnsi" w:hAnsiTheme="minorHAnsi" w:eastAsiaTheme="minorEastAsia" w:cstheme="minorBidi"/>
                <w:sz w:val="13"/>
                <w:szCs w:val="13"/>
              </w:rPr>
              <w:t>Turbulent properties of Helium convective shells of massive stars</w:t>
            </w:r>
          </w:p>
          <w:p>
            <w:pPr>
              <w:pStyle w:val="2"/>
              <w:adjustRightInd w:val="0"/>
              <w:spacing w:after="50" w:line="240" w:lineRule="auto"/>
              <w:ind w:firstLine="0" w:firstLineChars="0"/>
              <w:jc w:val="center"/>
              <w:outlineLvl w:val="1"/>
              <w:rPr>
                <w:rFonts w:asciiTheme="minorHAnsi" w:hAnsiTheme="minorHAnsi" w:eastAsiaTheme="minorEastAsia" w:cstheme="minorBidi"/>
                <w:sz w:val="13"/>
                <w:szCs w:val="13"/>
              </w:rPr>
            </w:pPr>
            <w:r>
              <w:rPr>
                <w:rFonts w:asciiTheme="minorHAnsi" w:hAnsiTheme="minorHAnsi" w:eastAsiaTheme="minorEastAsia" w:cstheme="minorBidi"/>
                <w:sz w:val="13"/>
                <w:szCs w:val="13"/>
              </w:rPr>
              <w:t>/ Monthly Notices of the Royal Astronomical Society</w:t>
            </w:r>
          </w:p>
          <w:p>
            <w:pPr>
              <w:pStyle w:val="2"/>
              <w:adjustRightInd w:val="0"/>
              <w:spacing w:after="50" w:line="240" w:lineRule="auto"/>
              <w:ind w:firstLine="0" w:firstLineChars="0"/>
              <w:jc w:val="center"/>
              <w:outlineLvl w:val="1"/>
              <w:rPr>
                <w:rFonts w:asciiTheme="minorHAnsi" w:hAnsiTheme="minorHAnsi" w:eastAsiaTheme="minorEastAsia" w:cstheme="minorBidi"/>
                <w:sz w:val="13"/>
                <w:szCs w:val="13"/>
              </w:rPr>
            </w:pPr>
            <w:r>
              <w:rPr>
                <w:rFonts w:hint="eastAsia" w:asciiTheme="minorHAnsi" w:hAnsiTheme="minorHAnsi" w:eastAsiaTheme="minorEastAsia" w:cstheme="minorBidi"/>
                <w:sz w:val="13"/>
                <w:szCs w:val="13"/>
              </w:rPr>
              <w:t>/丁彩云、陈彦辉</w:t>
            </w:r>
          </w:p>
        </w:tc>
        <w:tc>
          <w:tcPr>
            <w:tcW w:w="709" w:type="dxa"/>
            <w:vAlign w:val="center"/>
          </w:tcPr>
          <w:p>
            <w:pPr>
              <w:pStyle w:val="2"/>
              <w:adjustRightInd w:val="0"/>
              <w:spacing w:after="50" w:line="240" w:lineRule="auto"/>
              <w:ind w:firstLine="0" w:firstLineChars="0"/>
              <w:outlineLvl w:val="1"/>
              <w:rPr>
                <w:sz w:val="13"/>
                <w:szCs w:val="13"/>
              </w:rPr>
            </w:pPr>
            <w:r>
              <w:rPr>
                <w:rFonts w:hint="eastAsia"/>
                <w:sz w:val="13"/>
                <w:szCs w:val="13"/>
              </w:rPr>
              <w:t>503卷6136页</w:t>
            </w:r>
          </w:p>
        </w:tc>
        <w:tc>
          <w:tcPr>
            <w:tcW w:w="709" w:type="dxa"/>
            <w:vAlign w:val="center"/>
          </w:tcPr>
          <w:p>
            <w:pPr>
              <w:pStyle w:val="2"/>
              <w:adjustRightInd w:val="0"/>
              <w:spacing w:after="50" w:line="240" w:lineRule="auto"/>
              <w:ind w:firstLine="0" w:firstLineChars="0"/>
              <w:jc w:val="center"/>
              <w:outlineLvl w:val="1"/>
              <w:rPr>
                <w:sz w:val="13"/>
                <w:szCs w:val="13"/>
              </w:rPr>
            </w:pPr>
            <w:r>
              <w:rPr>
                <w:rFonts w:hint="eastAsia"/>
                <w:sz w:val="13"/>
                <w:szCs w:val="13"/>
              </w:rPr>
              <w:t>2021年6月</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丁彩云</w:t>
            </w:r>
          </w:p>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陈彦辉</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丁彩云</w:t>
            </w:r>
          </w:p>
        </w:tc>
        <w:tc>
          <w:tcPr>
            <w:tcW w:w="505" w:type="dxa"/>
            <w:vAlign w:val="center"/>
          </w:tcPr>
          <w:p>
            <w:pPr>
              <w:pStyle w:val="2"/>
              <w:adjustRightInd w:val="0"/>
              <w:spacing w:after="50" w:line="240" w:lineRule="auto"/>
              <w:ind w:firstLine="0" w:firstLineChars="0"/>
              <w:jc w:val="center"/>
              <w:outlineLvl w:val="1"/>
              <w:rPr>
                <w:sz w:val="13"/>
                <w:szCs w:val="13"/>
              </w:rPr>
            </w:pPr>
            <w:r>
              <w:rPr>
                <w:rFonts w:hint="eastAsia"/>
                <w:sz w:val="13"/>
                <w:szCs w:val="13"/>
              </w:rPr>
              <w:t>0</w:t>
            </w:r>
          </w:p>
        </w:tc>
        <w:tc>
          <w:tcPr>
            <w:tcW w:w="770" w:type="dxa"/>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1" w:hRule="exact"/>
          <w:jc w:val="center"/>
        </w:trPr>
        <w:tc>
          <w:tcPr>
            <w:tcW w:w="274"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7</w:t>
            </w:r>
          </w:p>
        </w:tc>
        <w:tc>
          <w:tcPr>
            <w:tcW w:w="3827" w:type="dxa"/>
            <w:vAlign w:val="center"/>
          </w:tcPr>
          <w:p>
            <w:pPr>
              <w:pStyle w:val="2"/>
              <w:adjustRightInd w:val="0"/>
              <w:spacing w:after="50" w:line="240" w:lineRule="auto"/>
              <w:ind w:firstLine="0" w:firstLineChars="0"/>
              <w:jc w:val="center"/>
              <w:outlineLvl w:val="1"/>
              <w:rPr>
                <w:rFonts w:asciiTheme="minorHAnsi" w:hAnsiTheme="minorHAnsi" w:eastAsiaTheme="minorEastAsia" w:cstheme="minorBidi"/>
                <w:sz w:val="13"/>
                <w:szCs w:val="13"/>
              </w:rPr>
            </w:pPr>
            <w:r>
              <w:rPr>
                <w:rFonts w:asciiTheme="minorHAnsi" w:hAnsiTheme="minorHAnsi" w:eastAsiaTheme="minorEastAsia" w:cstheme="minorBidi"/>
                <w:sz w:val="13"/>
                <w:szCs w:val="13"/>
              </w:rPr>
              <w:t>Properties of semi-convection and convective overshooting for massive stars</w:t>
            </w:r>
          </w:p>
          <w:p>
            <w:pPr>
              <w:pStyle w:val="2"/>
              <w:adjustRightInd w:val="0"/>
              <w:spacing w:after="50" w:line="240" w:lineRule="auto"/>
              <w:ind w:firstLine="0" w:firstLineChars="0"/>
              <w:jc w:val="center"/>
              <w:outlineLvl w:val="1"/>
              <w:rPr>
                <w:rFonts w:asciiTheme="minorHAnsi" w:hAnsiTheme="minorHAnsi" w:eastAsiaTheme="minorEastAsia" w:cstheme="minorBidi"/>
                <w:sz w:val="13"/>
                <w:szCs w:val="13"/>
              </w:rPr>
            </w:pPr>
            <w:r>
              <w:rPr>
                <w:rFonts w:hint="eastAsia" w:asciiTheme="minorHAnsi" w:hAnsiTheme="minorHAnsi" w:eastAsiaTheme="minorEastAsia" w:cstheme="minorBidi"/>
                <w:sz w:val="13"/>
                <w:szCs w:val="13"/>
              </w:rPr>
              <w:t>/</w:t>
            </w:r>
            <w:r>
              <w:rPr>
                <w:rFonts w:asciiTheme="minorHAnsi" w:hAnsiTheme="minorHAnsi" w:eastAsiaTheme="minorEastAsia" w:cstheme="minorBidi"/>
                <w:sz w:val="13"/>
                <w:szCs w:val="13"/>
              </w:rPr>
              <w:t xml:space="preserve"> Monthly Notices of the Royal Astronomical Society</w:t>
            </w:r>
          </w:p>
          <w:p>
            <w:pPr>
              <w:jc w:val="center"/>
              <w:rPr>
                <w:sz w:val="13"/>
                <w:szCs w:val="13"/>
              </w:rPr>
            </w:pPr>
            <w:r>
              <w:rPr>
                <w:rFonts w:hint="eastAsia"/>
                <w:sz w:val="13"/>
                <w:szCs w:val="13"/>
              </w:rPr>
              <w:t>/丁彩云、李焱</w:t>
            </w:r>
          </w:p>
        </w:tc>
        <w:tc>
          <w:tcPr>
            <w:tcW w:w="709" w:type="dxa"/>
            <w:vAlign w:val="center"/>
          </w:tcPr>
          <w:p>
            <w:pPr>
              <w:pStyle w:val="2"/>
              <w:adjustRightInd w:val="0"/>
              <w:spacing w:after="50" w:line="240" w:lineRule="auto"/>
              <w:ind w:firstLine="0" w:firstLineChars="0"/>
              <w:outlineLvl w:val="1"/>
              <w:rPr>
                <w:rFonts w:ascii="Times New Roman"/>
                <w:sz w:val="13"/>
                <w:szCs w:val="13"/>
              </w:rPr>
            </w:pPr>
            <w:r>
              <w:rPr>
                <w:rFonts w:hint="eastAsia"/>
                <w:sz w:val="13"/>
                <w:szCs w:val="13"/>
              </w:rPr>
              <w:t>438卷1137页</w:t>
            </w:r>
          </w:p>
        </w:tc>
        <w:tc>
          <w:tcPr>
            <w:tcW w:w="709"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sz w:val="13"/>
                <w:szCs w:val="13"/>
              </w:rPr>
              <w:t>2014年2月</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丁彩云</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丁彩云</w:t>
            </w:r>
          </w:p>
        </w:tc>
        <w:tc>
          <w:tcPr>
            <w:tcW w:w="505"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sz w:val="13"/>
                <w:szCs w:val="13"/>
              </w:rPr>
              <w:t>8</w:t>
            </w:r>
          </w:p>
        </w:tc>
        <w:tc>
          <w:tcPr>
            <w:tcW w:w="770" w:type="dxa"/>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5" w:hRule="exact"/>
          <w:jc w:val="center"/>
        </w:trPr>
        <w:tc>
          <w:tcPr>
            <w:tcW w:w="274"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8</w:t>
            </w:r>
          </w:p>
        </w:tc>
        <w:tc>
          <w:tcPr>
            <w:tcW w:w="3827" w:type="dxa"/>
            <w:vAlign w:val="center"/>
          </w:tcPr>
          <w:p>
            <w:pPr>
              <w:pStyle w:val="2"/>
              <w:adjustRightInd w:val="0"/>
              <w:spacing w:after="50" w:line="240" w:lineRule="auto"/>
              <w:ind w:firstLine="0" w:firstLineChars="0"/>
              <w:jc w:val="center"/>
              <w:outlineLvl w:val="1"/>
              <w:rPr>
                <w:rFonts w:asciiTheme="minorHAnsi" w:hAnsiTheme="minorHAnsi" w:eastAsiaTheme="minorEastAsia" w:cstheme="minorBidi"/>
                <w:sz w:val="13"/>
                <w:szCs w:val="13"/>
              </w:rPr>
            </w:pPr>
            <w:r>
              <w:rPr>
                <w:rFonts w:asciiTheme="minorHAnsi" w:hAnsiTheme="minorHAnsi" w:eastAsiaTheme="minorEastAsia" w:cstheme="minorBidi"/>
                <w:sz w:val="13"/>
                <w:szCs w:val="13"/>
              </w:rPr>
              <w:t>Effects of magnetic fields on equation of state of rotating stars</w:t>
            </w:r>
          </w:p>
          <w:p>
            <w:pPr>
              <w:pStyle w:val="2"/>
              <w:adjustRightInd w:val="0"/>
              <w:spacing w:after="50"/>
              <w:ind w:firstLine="260"/>
              <w:jc w:val="center"/>
              <w:outlineLvl w:val="1"/>
              <w:rPr>
                <w:rFonts w:asciiTheme="minorHAnsi" w:hAnsiTheme="minorHAnsi" w:eastAsiaTheme="minorEastAsia" w:cstheme="minorBidi"/>
                <w:sz w:val="13"/>
                <w:szCs w:val="13"/>
              </w:rPr>
            </w:pPr>
            <w:r>
              <w:rPr>
                <w:rFonts w:hint="eastAsia" w:asciiTheme="minorHAnsi" w:hAnsiTheme="minorHAnsi" w:eastAsiaTheme="minorEastAsia" w:cstheme="minorBidi"/>
                <w:sz w:val="13"/>
                <w:szCs w:val="13"/>
              </w:rPr>
              <w:t>/</w:t>
            </w:r>
            <w:r>
              <w:t xml:space="preserve"> </w:t>
            </w:r>
            <w:r>
              <w:rPr>
                <w:rFonts w:asciiTheme="minorHAnsi" w:hAnsiTheme="minorHAnsi" w:eastAsiaTheme="minorEastAsia" w:cstheme="minorBidi"/>
                <w:sz w:val="13"/>
                <w:szCs w:val="13"/>
              </w:rPr>
              <w:t>SCIENCE CHINA</w:t>
            </w:r>
            <w:r>
              <w:rPr>
                <w:rFonts w:hint="eastAsia" w:asciiTheme="minorHAnsi" w:hAnsiTheme="minorHAnsi" w:eastAsiaTheme="minorEastAsia" w:cstheme="minorBidi"/>
                <w:sz w:val="13"/>
                <w:szCs w:val="13"/>
              </w:rPr>
              <w:t xml:space="preserve"> </w:t>
            </w:r>
            <w:r>
              <w:rPr>
                <w:rFonts w:asciiTheme="minorHAnsi" w:hAnsiTheme="minorHAnsi" w:eastAsiaTheme="minorEastAsia" w:cstheme="minorBidi"/>
                <w:sz w:val="13"/>
                <w:szCs w:val="13"/>
              </w:rPr>
              <w:t>Physics, Mechanics &amp; Astronomy</w:t>
            </w:r>
          </w:p>
          <w:p>
            <w:pPr>
              <w:pStyle w:val="2"/>
              <w:adjustRightInd w:val="0"/>
              <w:spacing w:after="50"/>
              <w:ind w:firstLine="260"/>
              <w:jc w:val="center"/>
              <w:outlineLvl w:val="1"/>
              <w:rPr>
                <w:rFonts w:asciiTheme="minorHAnsi" w:hAnsiTheme="minorHAnsi" w:eastAsiaTheme="minorEastAsia" w:cstheme="minorBidi"/>
                <w:sz w:val="13"/>
                <w:szCs w:val="13"/>
              </w:rPr>
            </w:pPr>
            <w:r>
              <w:rPr>
                <w:rFonts w:hint="eastAsia" w:asciiTheme="minorHAnsi" w:hAnsiTheme="minorHAnsi" w:eastAsiaTheme="minorEastAsia" w:cstheme="minorBidi"/>
                <w:sz w:val="13"/>
                <w:szCs w:val="13"/>
              </w:rPr>
              <w:t>/那维炜、林桂芳、</w:t>
            </w:r>
            <w:r>
              <w:rPr>
                <w:rFonts w:hint="eastAsia" w:asciiTheme="minorHAnsi" w:hAnsiTheme="minorHAnsi" w:eastAsiaTheme="minorEastAsia" w:cstheme="minorBidi"/>
                <w:sz w:val="13"/>
                <w:szCs w:val="13"/>
                <w:u w:val="single"/>
              </w:rPr>
              <w:t>黄润乾</w:t>
            </w:r>
          </w:p>
        </w:tc>
        <w:tc>
          <w:tcPr>
            <w:tcW w:w="709" w:type="dxa"/>
            <w:vAlign w:val="center"/>
          </w:tcPr>
          <w:p>
            <w:pPr>
              <w:pStyle w:val="2"/>
              <w:adjustRightInd w:val="0"/>
              <w:spacing w:after="50" w:line="240" w:lineRule="auto"/>
              <w:ind w:firstLine="0" w:firstLineChars="0"/>
              <w:outlineLvl w:val="1"/>
              <w:rPr>
                <w:rFonts w:ascii="Times New Roman"/>
                <w:sz w:val="13"/>
                <w:szCs w:val="13"/>
              </w:rPr>
            </w:pPr>
            <w:r>
              <w:rPr>
                <w:rFonts w:hint="eastAsia"/>
                <w:sz w:val="13"/>
                <w:szCs w:val="13"/>
              </w:rPr>
              <w:t>58卷029501</w:t>
            </w:r>
          </w:p>
        </w:tc>
        <w:tc>
          <w:tcPr>
            <w:tcW w:w="709"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sz w:val="13"/>
                <w:szCs w:val="13"/>
              </w:rPr>
              <w:t>2015年2月</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那维炜</w:t>
            </w:r>
          </w:p>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林桂芳</w:t>
            </w:r>
          </w:p>
        </w:tc>
        <w:tc>
          <w:tcPr>
            <w:tcW w:w="567"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那维炜</w:t>
            </w:r>
          </w:p>
        </w:tc>
        <w:tc>
          <w:tcPr>
            <w:tcW w:w="505" w:type="dxa"/>
            <w:vAlign w:val="center"/>
          </w:tcPr>
          <w:p>
            <w:pPr>
              <w:pStyle w:val="2"/>
              <w:adjustRightInd w:val="0"/>
              <w:spacing w:after="50" w:line="240" w:lineRule="auto"/>
              <w:ind w:firstLine="0" w:firstLineChars="0"/>
              <w:jc w:val="center"/>
              <w:outlineLvl w:val="1"/>
              <w:rPr>
                <w:rFonts w:ascii="Times New Roman"/>
                <w:sz w:val="13"/>
                <w:szCs w:val="13"/>
              </w:rPr>
            </w:pPr>
            <w:r>
              <w:rPr>
                <w:rFonts w:hint="eastAsia"/>
                <w:sz w:val="13"/>
                <w:szCs w:val="13"/>
              </w:rPr>
              <w:t>1</w:t>
            </w:r>
          </w:p>
        </w:tc>
        <w:tc>
          <w:tcPr>
            <w:tcW w:w="770" w:type="dxa"/>
          </w:tcPr>
          <w:p>
            <w:pPr>
              <w:pStyle w:val="2"/>
              <w:adjustRightInd w:val="0"/>
              <w:spacing w:after="50" w:line="240" w:lineRule="auto"/>
              <w:ind w:firstLine="0" w:firstLineChars="0"/>
              <w:jc w:val="center"/>
              <w:outlineLvl w:val="1"/>
              <w:rPr>
                <w:rFonts w:ascii="Times New Roman"/>
                <w:sz w:val="13"/>
                <w:szCs w:val="13"/>
              </w:rPr>
            </w:pPr>
            <w:r>
              <w:rPr>
                <w:rFonts w:hint="eastAsia" w:ascii="Times New Roman"/>
                <w:sz w:val="13"/>
                <w:szCs w:val="13"/>
              </w:rPr>
              <w:t>否</w:t>
            </w:r>
          </w:p>
        </w:tc>
      </w:tr>
    </w:tbl>
    <w:p>
      <w:pPr>
        <w:ind w:left="420"/>
      </w:pPr>
    </w:p>
    <w:p>
      <w:pPr>
        <w:ind w:left="420"/>
      </w:pPr>
      <w:r>
        <w:rPr>
          <w:rFonts w:hint="eastAsia"/>
        </w:rPr>
        <w:t>主要完成人基本情况：</w:t>
      </w:r>
    </w:p>
    <w:p>
      <w:pPr>
        <w:ind w:firstLine="420" w:firstLineChars="200"/>
      </w:pPr>
      <w:r>
        <w:rPr>
          <w:rFonts w:hint="eastAsia"/>
        </w:rPr>
        <w:t>第一完成人：陈彦辉，教授，工作单位为楚雄师范学院（完成单位为楚雄师范学院），职务：无。</w:t>
      </w:r>
    </w:p>
    <w:p>
      <w:pPr>
        <w:ind w:firstLine="420" w:firstLineChars="200"/>
      </w:pPr>
      <w:r>
        <w:rPr>
          <w:rFonts w:hint="eastAsia"/>
        </w:rPr>
        <w:t>第二完成人：丁彩云，讲师，工作单位为昆明理工大学（完成单位为楚雄师范学院），职务：无。</w:t>
      </w:r>
    </w:p>
    <w:p>
      <w:pPr>
        <w:ind w:firstLine="420" w:firstLineChars="200"/>
      </w:pPr>
      <w:r>
        <w:rPr>
          <w:rFonts w:hint="eastAsia"/>
        </w:rPr>
        <w:t>第三完成人：那维炜，副教授，工作单位为玉溪师范学院（完成单位为玉溪师范学院），职务：无。</w:t>
      </w:r>
    </w:p>
    <w:p>
      <w:pPr>
        <w:ind w:firstLine="420" w:firstLineChars="200"/>
      </w:pPr>
      <w:r>
        <w:rPr>
          <w:rFonts w:hint="eastAsia"/>
        </w:rPr>
        <w:t>第四完成人：舒虹，讲师，工作单位为楚雄师范学院（完成单位为楚雄师范学院），职务：无。</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iMTNhMTc5NWFlNDhjOWIxNWQ5ZGViMjQ1MGRkNzkifQ=="/>
    <w:docVar w:name="KSO_WPS_MARK_KEY" w:val="c7993f27-3464-4fce-9d69-8d47023640f8"/>
  </w:docVars>
  <w:rsids>
    <w:rsidRoot w:val="00AD5323"/>
    <w:rsid w:val="000F4BBF"/>
    <w:rsid w:val="002C498E"/>
    <w:rsid w:val="007E5548"/>
    <w:rsid w:val="00A64ABA"/>
    <w:rsid w:val="00AC0895"/>
    <w:rsid w:val="00AD5323"/>
    <w:rsid w:val="00C244CF"/>
    <w:rsid w:val="00C9051D"/>
    <w:rsid w:val="00E23C8F"/>
    <w:rsid w:val="00F33594"/>
    <w:rsid w:val="00F9362A"/>
    <w:rsid w:val="1CEB2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6"/>
    <w:qFormat/>
    <w:uiPriority w:val="0"/>
    <w:pPr>
      <w:spacing w:line="360" w:lineRule="auto"/>
      <w:ind w:firstLine="480" w:firstLineChars="200"/>
    </w:pPr>
    <w:rPr>
      <w:rFonts w:ascii="仿宋_GB2312" w:hAnsi="Times New Roman" w:eastAsia="宋体" w:cs="Times New Roman"/>
      <w:sz w:val="24"/>
      <w:szCs w:val="24"/>
    </w:rPr>
  </w:style>
  <w:style w:type="paragraph" w:styleId="5">
    <w:name w:val="List Paragraph"/>
    <w:basedOn w:val="1"/>
    <w:qFormat/>
    <w:uiPriority w:val="34"/>
    <w:pPr>
      <w:ind w:firstLine="420" w:firstLineChars="200"/>
    </w:pPr>
  </w:style>
  <w:style w:type="character" w:customStyle="1" w:styleId="6">
    <w:name w:val="纯文本 字符"/>
    <w:basedOn w:val="4"/>
    <w:link w:val="2"/>
    <w:qFormat/>
    <w:uiPriority w:val="0"/>
    <w:rPr>
      <w:rFonts w:ascii="仿宋_GB2312" w:hAnsi="Times New Roman" w:eastAsia="宋体"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303</Words>
  <Characters>1732</Characters>
  <Lines>14</Lines>
  <Paragraphs>4</Paragraphs>
  <TotalTime>2</TotalTime>
  <ScaleCrop>false</ScaleCrop>
  <LinksUpToDate>false</LinksUpToDate>
  <CharactersWithSpaces>2031</CharactersWithSpaces>
  <Application>WPS Office_11.1.0.14252_F1E327BC-269C-435d-A152-05C5408002CA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2024-04-05T01:59:00Z</dcterms:created>
  <dc:creator>yanhui Chen</dc:creator>
  <cp:lastModifiedBy>郁步竹</cp:lastModifiedBy>
  <dcterms:modified xsi:type="dcterms:W3CDTF">2024-04-18T07:29:14Z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2052-11.1.0.14252</vt:lpwstr>
  </property>
  <property fmtid="{D5CDD505-2E9C-101B-9397-08002B2CF9AE}" pid="3" name="ICV">
    <vt:lpwstr>5C0714110C2447ACAC5046EC039286B1_12</vt:lpwstr>
  </property>
</Properties>
</file>